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C708" w14:textId="5FD1FA69" w:rsidR="0038451B" w:rsidRPr="00F8524A" w:rsidRDefault="0038451B" w:rsidP="0038451B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8FF110" wp14:editId="50797D8A">
            <wp:simplePos x="0" y="0"/>
            <wp:positionH relativeFrom="column">
              <wp:posOffset>-551180</wp:posOffset>
            </wp:positionH>
            <wp:positionV relativeFrom="paragraph">
              <wp:posOffset>-322580</wp:posOffset>
            </wp:positionV>
            <wp:extent cx="6372225" cy="928370"/>
            <wp:effectExtent l="0" t="0" r="9525" b="5080"/>
            <wp:wrapTight wrapText="bothSides">
              <wp:wrapPolygon edited="0">
                <wp:start x="0" y="0"/>
                <wp:lineTo x="0" y="21275"/>
                <wp:lineTo x="21568" y="21275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35E09" w14:textId="77777777" w:rsidR="0038451B" w:rsidRPr="00F8524A" w:rsidRDefault="0038451B" w:rsidP="0038451B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 w:rsidRPr="00F8524A">
        <w:rPr>
          <w:rFonts w:cs="Arial"/>
          <w:b/>
          <w:bCs/>
          <w:szCs w:val="24"/>
        </w:rPr>
        <w:t>HARROW COUNCIL</w:t>
      </w:r>
    </w:p>
    <w:p w14:paraId="22DB8146" w14:textId="77777777" w:rsidR="0038451B" w:rsidRPr="00F8524A" w:rsidRDefault="0038451B" w:rsidP="0038451B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</w:p>
    <w:p w14:paraId="59FB1399" w14:textId="6C42615E" w:rsidR="0038451B" w:rsidRPr="00F8524A" w:rsidRDefault="00B81BEF" w:rsidP="0038451B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SECOND </w:t>
      </w:r>
      <w:r w:rsidR="007F3B83">
        <w:rPr>
          <w:rFonts w:cs="Arial"/>
          <w:b/>
          <w:bCs/>
          <w:szCs w:val="24"/>
        </w:rPr>
        <w:t xml:space="preserve">SUPPLEMENTAL </w:t>
      </w:r>
      <w:r w:rsidR="0038451B" w:rsidRPr="00F8524A">
        <w:rPr>
          <w:rFonts w:cs="Arial"/>
          <w:b/>
          <w:bCs/>
          <w:szCs w:val="24"/>
        </w:rPr>
        <w:t>ADDENDUM</w:t>
      </w:r>
    </w:p>
    <w:p w14:paraId="102BC521" w14:textId="77777777" w:rsidR="0038451B" w:rsidRPr="00F8524A" w:rsidRDefault="0038451B" w:rsidP="0038451B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</w:p>
    <w:p w14:paraId="7A362FB8" w14:textId="77777777" w:rsidR="0038451B" w:rsidRPr="00F8524A" w:rsidRDefault="0038451B" w:rsidP="0038451B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 w:rsidRPr="00F8524A">
        <w:rPr>
          <w:rFonts w:cs="Arial"/>
          <w:b/>
          <w:bCs/>
          <w:szCs w:val="24"/>
        </w:rPr>
        <w:t xml:space="preserve">PLANNING COMMITTEE </w:t>
      </w:r>
    </w:p>
    <w:p w14:paraId="0BD1908C" w14:textId="77777777" w:rsidR="0038451B" w:rsidRPr="00F8524A" w:rsidRDefault="0038451B" w:rsidP="0038451B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</w:p>
    <w:p w14:paraId="01A2F127" w14:textId="73FB5DEC" w:rsidR="0038451B" w:rsidRPr="00F8524A" w:rsidRDefault="0038451B" w:rsidP="0038451B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 w:rsidRPr="00F8524A">
        <w:rPr>
          <w:rFonts w:cs="Arial"/>
          <w:b/>
          <w:bCs/>
          <w:szCs w:val="24"/>
        </w:rPr>
        <w:t xml:space="preserve">DATE: </w:t>
      </w:r>
      <w:r w:rsidR="00496D41">
        <w:rPr>
          <w:rFonts w:cs="Arial"/>
          <w:b/>
          <w:bCs/>
          <w:szCs w:val="24"/>
        </w:rPr>
        <w:t>13 April</w:t>
      </w:r>
      <w:r w:rsidR="0019637B">
        <w:rPr>
          <w:rFonts w:cs="Arial"/>
          <w:b/>
          <w:bCs/>
          <w:szCs w:val="24"/>
        </w:rPr>
        <w:t xml:space="preserve"> 2022</w:t>
      </w:r>
    </w:p>
    <w:p w14:paraId="630A11AC" w14:textId="77777777" w:rsidR="0038451B" w:rsidRPr="00F8524A" w:rsidRDefault="0038451B" w:rsidP="0038451B">
      <w:pPr>
        <w:pStyle w:val="BodyText"/>
        <w:jc w:val="both"/>
        <w:rPr>
          <w:rFonts w:cs="Arial"/>
          <w:sz w:val="24"/>
          <w:szCs w:val="24"/>
        </w:rPr>
      </w:pP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364"/>
        <w:gridCol w:w="5016"/>
        <w:gridCol w:w="3943"/>
      </w:tblGrid>
      <w:tr w:rsidR="0038451B" w:rsidRPr="00F8524A" w14:paraId="039E482F" w14:textId="77777777" w:rsidTr="00B81BEF">
        <w:tc>
          <w:tcPr>
            <w:tcW w:w="1422" w:type="dxa"/>
          </w:tcPr>
          <w:p w14:paraId="7BE591B4" w14:textId="77777777" w:rsidR="00B81BEF" w:rsidRDefault="00B81BEF" w:rsidP="0062348D">
            <w:pPr>
              <w:tabs>
                <w:tab w:val="left" w:pos="4962"/>
                <w:tab w:val="left" w:pos="7655"/>
              </w:tabs>
              <w:ind w:right="45"/>
              <w:jc w:val="both"/>
              <w:rPr>
                <w:rFonts w:cs="Arial"/>
                <w:b/>
                <w:bCs/>
                <w:szCs w:val="24"/>
              </w:rPr>
            </w:pPr>
          </w:p>
          <w:p w14:paraId="1454EFA5" w14:textId="5D2552C7" w:rsidR="0038451B" w:rsidRPr="00F8524A" w:rsidRDefault="00CA282D" w:rsidP="0062348D">
            <w:pPr>
              <w:tabs>
                <w:tab w:val="left" w:pos="4962"/>
                <w:tab w:val="left" w:pos="7655"/>
              </w:tabs>
              <w:ind w:right="45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2/07</w:t>
            </w:r>
          </w:p>
        </w:tc>
        <w:tc>
          <w:tcPr>
            <w:tcW w:w="9323" w:type="dxa"/>
            <w:gridSpan w:val="3"/>
            <w:shd w:val="clear" w:color="auto" w:fill="auto"/>
          </w:tcPr>
          <w:p w14:paraId="5B3E17B4" w14:textId="77777777" w:rsidR="00B81BEF" w:rsidRDefault="00B81BEF" w:rsidP="0062348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color w:val="000000"/>
              </w:rPr>
            </w:pPr>
          </w:p>
          <w:p w14:paraId="08719E64" w14:textId="77777777" w:rsidR="0038451B" w:rsidRDefault="00C36814" w:rsidP="0062348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Garages adjacent 1 Brookside Close</w:t>
            </w:r>
          </w:p>
          <w:p w14:paraId="197A4B0F" w14:textId="7820412F" w:rsidR="00B81BEF" w:rsidRPr="00F8524A" w:rsidRDefault="00B81BEF" w:rsidP="0062348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38451B" w:rsidRPr="00F8524A" w14:paraId="3DDB66F1" w14:textId="77777777" w:rsidTr="00B81BEF">
        <w:trPr>
          <w:trHeight w:val="5209"/>
        </w:trPr>
        <w:tc>
          <w:tcPr>
            <w:tcW w:w="1422" w:type="dxa"/>
          </w:tcPr>
          <w:p w14:paraId="6A43DC5C" w14:textId="77777777" w:rsidR="0038451B" w:rsidRPr="00F8524A" w:rsidRDefault="0038451B" w:rsidP="0062348D">
            <w:pPr>
              <w:tabs>
                <w:tab w:val="left" w:pos="4962"/>
                <w:tab w:val="left" w:pos="7655"/>
              </w:tabs>
              <w:ind w:right="45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323" w:type="dxa"/>
            <w:gridSpan w:val="3"/>
            <w:shd w:val="clear" w:color="auto" w:fill="auto"/>
          </w:tcPr>
          <w:p w14:paraId="4869927C" w14:textId="21557932" w:rsidR="0038451B" w:rsidRDefault="0038451B" w:rsidP="0062348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  <w:szCs w:val="24"/>
                <w:u w:val="single"/>
              </w:rPr>
            </w:pPr>
          </w:p>
          <w:p w14:paraId="0D6D83D0" w14:textId="77777777" w:rsidR="000C54F4" w:rsidRPr="008D4F00" w:rsidRDefault="008D4F00" w:rsidP="00B81BEF">
            <w:pPr>
              <w:tabs>
                <w:tab w:val="left" w:pos="993"/>
              </w:tabs>
              <w:ind w:left="1020" w:hanging="1020"/>
              <w:jc w:val="both"/>
              <w:rPr>
                <w:rFonts w:cs="Arial"/>
                <w:b/>
                <w:bCs/>
                <w:szCs w:val="24"/>
              </w:rPr>
            </w:pPr>
            <w:r w:rsidRPr="008D4F00">
              <w:rPr>
                <w:rFonts w:cs="Arial"/>
                <w:b/>
                <w:bCs/>
                <w:szCs w:val="24"/>
              </w:rPr>
              <w:t>Amend paragraph 6.5.2</w:t>
            </w:r>
          </w:p>
          <w:p w14:paraId="1CEE04C6" w14:textId="77777777" w:rsidR="008D4F00" w:rsidRDefault="008D4F00" w:rsidP="00B81BEF">
            <w:pPr>
              <w:tabs>
                <w:tab w:val="left" w:pos="993"/>
              </w:tabs>
              <w:ind w:left="1020" w:hanging="1020"/>
              <w:jc w:val="both"/>
              <w:rPr>
                <w:rFonts w:cs="Arial"/>
                <w:szCs w:val="24"/>
              </w:rPr>
            </w:pPr>
          </w:p>
          <w:p w14:paraId="4E9BFD05" w14:textId="134B34B4" w:rsidR="008D4F00" w:rsidRDefault="008D4F00" w:rsidP="00B81BEF">
            <w:pPr>
              <w:jc w:val="both"/>
              <w:rPr>
                <w:rFonts w:cs="Arial"/>
                <w:b/>
                <w:bCs/>
              </w:rPr>
            </w:pPr>
            <w:r w:rsidRPr="0035573E">
              <w:rPr>
                <w:rFonts w:cs="Arial"/>
              </w:rPr>
              <w:t xml:space="preserve">In line with the London Plan 2021 maximum car parking standards, developments in this PTAL 2 location may have up to 0.75 spaces per dwelling.  The proposal would provide </w:t>
            </w:r>
            <w:r>
              <w:rPr>
                <w:rFonts w:cs="Arial"/>
                <w:b/>
                <w:bCs/>
              </w:rPr>
              <w:t>8</w:t>
            </w:r>
            <w:r w:rsidRPr="0035573E">
              <w:rPr>
                <w:rFonts w:cs="Arial"/>
              </w:rPr>
              <w:t xml:space="preserve"> new parking spaces which would comply with the maximum level permitted by the standards.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  <w:bCs/>
              </w:rPr>
              <w:t xml:space="preserve">All </w:t>
            </w:r>
            <w:r w:rsidR="00027D98">
              <w:rPr>
                <w:rFonts w:cs="Arial"/>
                <w:b/>
                <w:bCs/>
              </w:rPr>
              <w:t>existing</w:t>
            </w:r>
            <w:r>
              <w:rPr>
                <w:rFonts w:cs="Arial"/>
                <w:b/>
                <w:bCs/>
              </w:rPr>
              <w:t xml:space="preserve"> parking on site would remain as </w:t>
            </w:r>
            <w:r w:rsidR="00027D98">
              <w:rPr>
                <w:rFonts w:cs="Arial"/>
                <w:b/>
                <w:bCs/>
              </w:rPr>
              <w:t>per the existing situation</w:t>
            </w:r>
            <w:r>
              <w:rPr>
                <w:rFonts w:cs="Arial"/>
                <w:b/>
                <w:bCs/>
              </w:rPr>
              <w:t>.</w:t>
            </w:r>
          </w:p>
          <w:p w14:paraId="1706F01D" w14:textId="77777777" w:rsidR="008D4F00" w:rsidRDefault="008D4F00" w:rsidP="00B81BEF">
            <w:pPr>
              <w:jc w:val="both"/>
              <w:rPr>
                <w:rFonts w:cs="Arial"/>
                <w:b/>
                <w:bCs/>
              </w:rPr>
            </w:pPr>
          </w:p>
          <w:p w14:paraId="3E24542E" w14:textId="46D0A889" w:rsidR="008D4F00" w:rsidRDefault="008D4F00" w:rsidP="00B81BEF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 paragraph 6.4.12</w:t>
            </w:r>
          </w:p>
          <w:p w14:paraId="4DDE77FF" w14:textId="2CC084E4" w:rsidR="008D4F00" w:rsidRDefault="008D4F00" w:rsidP="00B81BEF">
            <w:pPr>
              <w:jc w:val="both"/>
              <w:rPr>
                <w:rFonts w:cs="Arial"/>
                <w:b/>
                <w:bCs/>
              </w:rPr>
            </w:pPr>
          </w:p>
          <w:p w14:paraId="70B6E748" w14:textId="7EEE29B5" w:rsidR="008D4F00" w:rsidRPr="008D4F00" w:rsidRDefault="00533F59" w:rsidP="00B81BEF">
            <w:pPr>
              <w:ind w:left="728" w:hanging="728"/>
              <w:jc w:val="both"/>
              <w:rPr>
                <w:rFonts w:cs="Arial"/>
                <w:b/>
                <w:bCs/>
                <w:u w:val="single"/>
              </w:rPr>
            </w:pPr>
            <w:r w:rsidRPr="00533F59">
              <w:rPr>
                <w:rFonts w:cs="Arial"/>
                <w:b/>
                <w:bCs/>
              </w:rPr>
              <w:tab/>
            </w:r>
            <w:r w:rsidR="008D4F00">
              <w:rPr>
                <w:rFonts w:cs="Arial"/>
                <w:b/>
                <w:bCs/>
                <w:u w:val="single"/>
              </w:rPr>
              <w:t>Affordable Housing</w:t>
            </w:r>
          </w:p>
          <w:p w14:paraId="6671FBF2" w14:textId="61C5656D" w:rsidR="008D4F00" w:rsidRPr="008D4F00" w:rsidRDefault="00533F59" w:rsidP="00B81BEF">
            <w:pPr>
              <w:ind w:left="728" w:hanging="728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6.4.12</w:t>
            </w:r>
            <w:r>
              <w:rPr>
                <w:rFonts w:cs="Arial"/>
                <w:b/>
                <w:bCs/>
              </w:rPr>
              <w:tab/>
            </w:r>
            <w:r w:rsidR="008D4F00">
              <w:rPr>
                <w:rFonts w:cs="Arial"/>
                <w:b/>
                <w:bCs/>
              </w:rPr>
              <w:t xml:space="preserve">The proposed development would provide an addition </w:t>
            </w:r>
            <w:r>
              <w:rPr>
                <w:rFonts w:cs="Arial"/>
                <w:b/>
                <w:bCs/>
              </w:rPr>
              <w:t>9</w:t>
            </w:r>
            <w:r w:rsidR="008D4F00">
              <w:rPr>
                <w:rFonts w:cs="Arial"/>
                <w:b/>
                <w:bCs/>
              </w:rPr>
              <w:t xml:space="preserve"> dwellings which will be for affordable rent.</w:t>
            </w:r>
            <w:r w:rsidR="008D4F00" w:rsidRPr="008D4F00">
              <w:rPr>
                <w:rFonts w:cs="Arial"/>
                <w:b/>
                <w:bCs/>
              </w:rPr>
              <w:t xml:space="preserve">  </w:t>
            </w:r>
            <w:r w:rsidR="008D4F00" w:rsidRPr="008D4F00">
              <w:rPr>
                <w:b/>
                <w:bCs/>
              </w:rPr>
              <w:t xml:space="preserve">For a minor development there is no policy requirement for any affordable housing to be provided. </w:t>
            </w:r>
            <w:r>
              <w:rPr>
                <w:b/>
                <w:bCs/>
              </w:rPr>
              <w:t>Given the site constraints officers are satisfied that the proposal</w:t>
            </w:r>
            <w:r w:rsidR="008D4F00" w:rsidRPr="008D4F00">
              <w:rPr>
                <w:b/>
                <w:bCs/>
              </w:rPr>
              <w:t xml:space="preserve"> represents an efficient use of land</w:t>
            </w:r>
            <w:r>
              <w:rPr>
                <w:b/>
                <w:bCs/>
              </w:rPr>
              <w:t xml:space="preserve"> and</w:t>
            </w:r>
            <w:r w:rsidR="008D4F00" w:rsidRPr="008D4F00">
              <w:rPr>
                <w:b/>
                <w:bCs/>
              </w:rPr>
              <w:t xml:space="preserve"> that the site is </w:t>
            </w:r>
            <w:r w:rsidR="008D4F00">
              <w:rPr>
                <w:b/>
                <w:bCs/>
              </w:rPr>
              <w:t>could not</w:t>
            </w:r>
            <w:r w:rsidR="008D4F00" w:rsidRPr="008D4F00">
              <w:rPr>
                <w:b/>
                <w:bCs/>
              </w:rPr>
              <w:t xml:space="preserve"> deliver any additional units to take it over the A</w:t>
            </w:r>
            <w:r w:rsidR="008D4F00">
              <w:rPr>
                <w:b/>
                <w:bCs/>
              </w:rPr>
              <w:t xml:space="preserve">ffordable </w:t>
            </w:r>
            <w:r w:rsidR="008D4F00" w:rsidRPr="008D4F00">
              <w:rPr>
                <w:b/>
                <w:bCs/>
              </w:rPr>
              <w:t>H</w:t>
            </w:r>
            <w:r w:rsidR="008D4F00">
              <w:rPr>
                <w:b/>
                <w:bCs/>
              </w:rPr>
              <w:t>ousing</w:t>
            </w:r>
            <w:r w:rsidR="008D4F00" w:rsidRPr="008D4F00">
              <w:rPr>
                <w:b/>
                <w:bCs/>
              </w:rPr>
              <w:t xml:space="preserve"> threshold.</w:t>
            </w:r>
            <w:r w:rsidR="008D4F00" w:rsidRPr="008D4F00">
              <w:t xml:space="preserve"> </w:t>
            </w:r>
            <w:r w:rsidR="008D4F00">
              <w:t xml:space="preserve"> </w:t>
            </w:r>
          </w:p>
        </w:tc>
      </w:tr>
      <w:tr w:rsidR="00B81BEF" w:rsidRPr="00B81BEF" w14:paraId="3F1E275F" w14:textId="77777777" w:rsidTr="00B81BEF">
        <w:tblPrEx>
          <w:tblLook w:val="04A0" w:firstRow="1" w:lastRow="0" w:firstColumn="1" w:lastColumn="0" w:noHBand="0" w:noVBand="1"/>
        </w:tblPrEx>
        <w:tc>
          <w:tcPr>
            <w:tcW w:w="10745" w:type="dxa"/>
            <w:gridSpan w:val="4"/>
            <w:shd w:val="clear" w:color="auto" w:fill="auto"/>
          </w:tcPr>
          <w:p w14:paraId="41CAA687" w14:textId="5901940C" w:rsidR="00B81BEF" w:rsidRPr="00B81BEF" w:rsidRDefault="0038451B" w:rsidP="00B81BEF">
            <w:pPr>
              <w:jc w:val="both"/>
              <w:rPr>
                <w:rFonts w:cs="Arial"/>
                <w:b/>
                <w:bCs/>
                <w:szCs w:val="24"/>
                <w:u w:val="single"/>
              </w:rPr>
            </w:pPr>
            <w:r w:rsidRPr="00F8524A">
              <w:rPr>
                <w:rFonts w:cs="Arial"/>
                <w:szCs w:val="24"/>
              </w:rPr>
              <w:t xml:space="preserve"> </w:t>
            </w:r>
          </w:p>
          <w:p w14:paraId="16636E80" w14:textId="77777777" w:rsidR="00B81BEF" w:rsidRPr="00B81BEF" w:rsidRDefault="00B81BEF" w:rsidP="00B81BEF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B81BEF">
              <w:rPr>
                <w:rFonts w:cs="Arial"/>
                <w:b/>
                <w:bCs/>
                <w:szCs w:val="24"/>
              </w:rPr>
              <w:t>AGENDA ITEM 10 – REPRESENTATIONS ON PLANNING APPLICATIONS</w:t>
            </w:r>
          </w:p>
          <w:p w14:paraId="7F92D5B9" w14:textId="77777777" w:rsidR="00B81BEF" w:rsidRPr="00B81BEF" w:rsidRDefault="00B81BEF" w:rsidP="00B81BEF">
            <w:pPr>
              <w:jc w:val="both"/>
              <w:rPr>
                <w:rFonts w:cs="Arial"/>
                <w:b/>
                <w:bCs/>
                <w:szCs w:val="24"/>
                <w:u w:val="single"/>
              </w:rPr>
            </w:pPr>
          </w:p>
        </w:tc>
      </w:tr>
      <w:tr w:rsidR="00B81BEF" w:rsidRPr="00B81BEF" w14:paraId="74A957C9" w14:textId="77777777" w:rsidTr="00B81BEF">
        <w:tblPrEx>
          <w:tblLook w:val="04A0" w:firstRow="1" w:lastRow="0" w:firstColumn="1" w:lastColumn="0" w:noHBand="0" w:noVBand="1"/>
        </w:tblPrEx>
        <w:tc>
          <w:tcPr>
            <w:tcW w:w="1786" w:type="dxa"/>
            <w:gridSpan w:val="2"/>
            <w:shd w:val="clear" w:color="auto" w:fill="auto"/>
          </w:tcPr>
          <w:p w14:paraId="02D94972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center"/>
              <w:rPr>
                <w:rFonts w:cs="Arial"/>
                <w:b/>
                <w:szCs w:val="24"/>
              </w:rPr>
            </w:pPr>
          </w:p>
          <w:p w14:paraId="64E35D66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center"/>
              <w:rPr>
                <w:rFonts w:cs="Arial"/>
                <w:b/>
                <w:szCs w:val="24"/>
              </w:rPr>
            </w:pPr>
            <w:r w:rsidRPr="00B81BEF">
              <w:rPr>
                <w:rFonts w:cs="Arial"/>
                <w:b/>
                <w:szCs w:val="24"/>
              </w:rPr>
              <w:t>Agenda Item</w:t>
            </w:r>
          </w:p>
          <w:p w14:paraId="0182FABC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16" w:type="dxa"/>
            <w:shd w:val="clear" w:color="auto" w:fill="auto"/>
          </w:tcPr>
          <w:p w14:paraId="18D9BF43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center"/>
              <w:rPr>
                <w:rFonts w:cs="Arial"/>
                <w:b/>
                <w:szCs w:val="24"/>
              </w:rPr>
            </w:pPr>
          </w:p>
          <w:p w14:paraId="748B3352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center"/>
              <w:rPr>
                <w:rFonts w:cs="Arial"/>
                <w:b/>
                <w:szCs w:val="24"/>
              </w:rPr>
            </w:pPr>
            <w:r w:rsidRPr="00B81BEF">
              <w:rPr>
                <w:rFonts w:cs="Arial"/>
                <w:b/>
                <w:szCs w:val="24"/>
              </w:rPr>
              <w:t>Application</w:t>
            </w:r>
          </w:p>
        </w:tc>
        <w:tc>
          <w:tcPr>
            <w:tcW w:w="3943" w:type="dxa"/>
            <w:shd w:val="clear" w:color="auto" w:fill="auto"/>
          </w:tcPr>
          <w:p w14:paraId="1B3CCF29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center"/>
              <w:rPr>
                <w:rFonts w:cs="Arial"/>
                <w:b/>
                <w:szCs w:val="24"/>
              </w:rPr>
            </w:pPr>
          </w:p>
          <w:p w14:paraId="06E4053B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center"/>
              <w:rPr>
                <w:rFonts w:cs="Arial"/>
                <w:b/>
                <w:szCs w:val="24"/>
              </w:rPr>
            </w:pPr>
            <w:r w:rsidRPr="00B81BEF">
              <w:rPr>
                <w:rFonts w:cs="Arial"/>
                <w:b/>
                <w:szCs w:val="24"/>
              </w:rPr>
              <w:t>Speakers</w:t>
            </w:r>
          </w:p>
        </w:tc>
      </w:tr>
      <w:tr w:rsidR="00B81BEF" w:rsidRPr="00B81BEF" w14:paraId="4604EEDD" w14:textId="77777777" w:rsidTr="00B81BEF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786" w:type="dxa"/>
            <w:gridSpan w:val="2"/>
            <w:shd w:val="clear" w:color="auto" w:fill="auto"/>
          </w:tcPr>
          <w:p w14:paraId="1F99B26E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  <w:r w:rsidRPr="00B81BEF">
              <w:rPr>
                <w:rFonts w:cs="Arial"/>
                <w:b/>
                <w:szCs w:val="24"/>
              </w:rPr>
              <w:t xml:space="preserve"> </w:t>
            </w:r>
          </w:p>
          <w:p w14:paraId="665EFBE7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  <w:r w:rsidRPr="00B81BEF">
              <w:rPr>
                <w:rFonts w:cs="Arial"/>
                <w:b/>
                <w:szCs w:val="24"/>
              </w:rPr>
              <w:t>2/01</w:t>
            </w:r>
          </w:p>
          <w:p w14:paraId="64F2B3DE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5016" w:type="dxa"/>
            <w:shd w:val="clear" w:color="auto" w:fill="auto"/>
          </w:tcPr>
          <w:p w14:paraId="4DEB3B84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  <w:p w14:paraId="5457180F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B81BEF">
              <w:rPr>
                <w:rFonts w:cs="Arial"/>
                <w:bCs/>
                <w:szCs w:val="24"/>
              </w:rPr>
              <w:t>11 Hillview Road, Harrow. HA5 4PB,</w:t>
            </w:r>
          </w:p>
          <w:p w14:paraId="2C42E0E0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B81BEF">
              <w:rPr>
                <w:rFonts w:cs="Arial"/>
                <w:bCs/>
                <w:szCs w:val="24"/>
              </w:rPr>
              <w:t>P/4033/21</w:t>
            </w:r>
          </w:p>
        </w:tc>
        <w:tc>
          <w:tcPr>
            <w:tcW w:w="3943" w:type="dxa"/>
            <w:shd w:val="clear" w:color="auto" w:fill="auto"/>
          </w:tcPr>
          <w:p w14:paraId="1CB9BAA8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  <w:p w14:paraId="1C3A8B3C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B81BEF">
              <w:rPr>
                <w:rFonts w:cs="Arial"/>
                <w:bCs/>
                <w:szCs w:val="24"/>
              </w:rPr>
              <w:t>Councillor Susan Hall (Back Bench)</w:t>
            </w:r>
          </w:p>
          <w:p w14:paraId="0CFC4C39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</w:tc>
      </w:tr>
      <w:tr w:rsidR="00B81BEF" w:rsidRPr="00B81BEF" w14:paraId="634638D6" w14:textId="77777777" w:rsidTr="00B81BEF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786" w:type="dxa"/>
            <w:gridSpan w:val="2"/>
            <w:shd w:val="clear" w:color="auto" w:fill="auto"/>
          </w:tcPr>
          <w:p w14:paraId="464C6B0D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</w:p>
          <w:p w14:paraId="7CB3B899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  <w:r w:rsidRPr="00B81BEF">
              <w:rPr>
                <w:rFonts w:cs="Arial"/>
                <w:b/>
                <w:szCs w:val="24"/>
              </w:rPr>
              <w:t>2/04</w:t>
            </w:r>
          </w:p>
        </w:tc>
        <w:tc>
          <w:tcPr>
            <w:tcW w:w="5016" w:type="dxa"/>
            <w:shd w:val="clear" w:color="auto" w:fill="auto"/>
          </w:tcPr>
          <w:p w14:paraId="15BDAE7C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  <w:p w14:paraId="28DB89EA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B81BEF">
              <w:rPr>
                <w:rFonts w:cs="Arial"/>
                <w:bCs/>
                <w:szCs w:val="24"/>
              </w:rPr>
              <w:t>102 West End Lane, HA5 3NG, P/4887/21</w:t>
            </w:r>
          </w:p>
          <w:p w14:paraId="094698B3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14:paraId="745CB176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  <w:p w14:paraId="2311030A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B81BEF">
              <w:rPr>
                <w:rFonts w:cs="Arial"/>
                <w:bCs/>
                <w:szCs w:val="24"/>
              </w:rPr>
              <w:t>Councillor Richard Almond (Back Bench)</w:t>
            </w:r>
          </w:p>
          <w:p w14:paraId="5EAE642F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</w:tc>
      </w:tr>
      <w:tr w:rsidR="00B81BEF" w:rsidRPr="00B81BEF" w14:paraId="6981317B" w14:textId="77777777" w:rsidTr="00B81BEF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786" w:type="dxa"/>
            <w:gridSpan w:val="2"/>
            <w:shd w:val="clear" w:color="auto" w:fill="auto"/>
          </w:tcPr>
          <w:p w14:paraId="17FF5AD0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</w:p>
          <w:p w14:paraId="3A4B94B6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  <w:r w:rsidRPr="00B81BEF">
              <w:rPr>
                <w:rFonts w:cs="Arial"/>
                <w:b/>
                <w:szCs w:val="24"/>
              </w:rPr>
              <w:t>2/05</w:t>
            </w:r>
          </w:p>
        </w:tc>
        <w:tc>
          <w:tcPr>
            <w:tcW w:w="5016" w:type="dxa"/>
            <w:shd w:val="clear" w:color="auto" w:fill="auto"/>
          </w:tcPr>
          <w:p w14:paraId="0094D7F9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  <w:p w14:paraId="692E145E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B81BEF">
              <w:rPr>
                <w:rFonts w:cs="Arial"/>
                <w:bCs/>
                <w:szCs w:val="24"/>
              </w:rPr>
              <w:t>239 Cannon Lane, Pinner, HA5 1JB,</w:t>
            </w:r>
          </w:p>
          <w:p w14:paraId="27D03ABC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B81BEF">
              <w:rPr>
                <w:rFonts w:cs="Arial"/>
                <w:bCs/>
                <w:szCs w:val="24"/>
              </w:rPr>
              <w:t>P/0988/21</w:t>
            </w:r>
          </w:p>
          <w:p w14:paraId="7A6A0267" w14:textId="77777777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14:paraId="4FEB2DE4" w14:textId="4DDCC31F" w:rsid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  <w:p w14:paraId="22C609D0" w14:textId="3E0E74E3" w:rsidR="00B81BEF" w:rsidRDefault="00B81BEF" w:rsidP="00B81BEF">
            <w:pPr>
              <w:spacing w:before="120" w:after="120"/>
              <w:rPr>
                <w:rFonts w:cs="Arial"/>
                <w:szCs w:val="24"/>
                <w:lang w:eastAsia="en-GB"/>
              </w:rPr>
            </w:pPr>
            <w:r w:rsidRPr="00B81BEF">
              <w:rPr>
                <w:rFonts w:cs="Arial"/>
                <w:szCs w:val="24"/>
                <w:lang w:eastAsia="en-GB"/>
              </w:rPr>
              <w:t>Carol Hall (Objector)</w:t>
            </w:r>
          </w:p>
          <w:p w14:paraId="4BA6F20B" w14:textId="5EA07812" w:rsidR="00B81BEF" w:rsidRDefault="00B81BEF" w:rsidP="00B81BEF">
            <w:pPr>
              <w:spacing w:before="120" w:after="120"/>
              <w:rPr>
                <w:rFonts w:cs="Arial"/>
                <w:szCs w:val="24"/>
                <w:lang w:eastAsia="en-GB"/>
              </w:rPr>
            </w:pPr>
          </w:p>
          <w:p w14:paraId="7C4A6A4B" w14:textId="77D8A04B" w:rsidR="00B81BEF" w:rsidRDefault="00B81BEF" w:rsidP="00B81BEF">
            <w:pPr>
              <w:spacing w:before="120" w:after="120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Agent/Applicant (To Be Advised)</w:t>
            </w:r>
          </w:p>
          <w:p w14:paraId="015FE63B" w14:textId="77777777" w:rsid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  <w:p w14:paraId="7CA2368F" w14:textId="73AE50D5" w:rsid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B81BEF">
              <w:rPr>
                <w:rFonts w:cs="Arial"/>
                <w:bCs/>
                <w:szCs w:val="24"/>
              </w:rPr>
              <w:t>Councillor Richard Almond (Back Bench)</w:t>
            </w:r>
          </w:p>
          <w:p w14:paraId="0C4C6311" w14:textId="4206095E" w:rsidR="00B81BEF" w:rsidRPr="00B81BEF" w:rsidRDefault="00B81BEF" w:rsidP="00B81BEF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</w:tc>
      </w:tr>
    </w:tbl>
    <w:p w14:paraId="1C541F44" w14:textId="77777777" w:rsidR="00B81BEF" w:rsidRPr="00B81BEF" w:rsidRDefault="00B81BEF" w:rsidP="00B81BEF">
      <w:pPr>
        <w:tabs>
          <w:tab w:val="left" w:pos="3402"/>
          <w:tab w:val="left" w:pos="5670"/>
          <w:tab w:val="left" w:pos="7088"/>
          <w:tab w:val="left" w:pos="8222"/>
        </w:tabs>
        <w:rPr>
          <w:rFonts w:cs="Arial"/>
          <w:b/>
          <w:szCs w:val="24"/>
        </w:rPr>
      </w:pPr>
    </w:p>
    <w:p w14:paraId="2508FCA0" w14:textId="5B7B611C" w:rsidR="0038451B" w:rsidRPr="00F8524A" w:rsidRDefault="0038451B" w:rsidP="0038451B">
      <w:pPr>
        <w:rPr>
          <w:rFonts w:cs="Arial"/>
          <w:szCs w:val="24"/>
        </w:rPr>
      </w:pPr>
    </w:p>
    <w:p w14:paraId="64D04E21" w14:textId="77777777" w:rsidR="0038451B" w:rsidRPr="007B7BAC" w:rsidRDefault="0038451B" w:rsidP="0038451B">
      <w:pPr>
        <w:rPr>
          <w:rFonts w:cs="Arial"/>
        </w:rPr>
      </w:pPr>
    </w:p>
    <w:p w14:paraId="5A78CC60" w14:textId="77777777" w:rsidR="002A12D9" w:rsidRDefault="002A12D9"/>
    <w:sectPr w:rsidR="002A12D9" w:rsidSect="0073178D">
      <w:footerReference w:type="even" r:id="rId8"/>
      <w:footerReference w:type="default" r:id="rId9"/>
      <w:pgSz w:w="11907" w:h="16840" w:code="9"/>
      <w:pgMar w:top="567" w:right="1021" w:bottom="1440" w:left="851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0798" w14:textId="77777777" w:rsidR="004D3DDF" w:rsidRDefault="007F3B83">
      <w:r>
        <w:separator/>
      </w:r>
    </w:p>
  </w:endnote>
  <w:endnote w:type="continuationSeparator" w:id="0">
    <w:p w14:paraId="36E9BD42" w14:textId="77777777" w:rsidR="004D3DDF" w:rsidRDefault="007F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372F" w14:textId="77777777" w:rsidR="0073178D" w:rsidRDefault="00543ED7" w:rsidP="007317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1BCED5" w14:textId="77777777" w:rsidR="0073178D" w:rsidRDefault="00B81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CE88" w14:textId="77777777" w:rsidR="0073178D" w:rsidRPr="00C164D8" w:rsidRDefault="00543ED7" w:rsidP="0073178D">
    <w:pPr>
      <w:pStyle w:val="Footer"/>
      <w:framePr w:wrap="around" w:vAnchor="text" w:hAnchor="margin" w:xAlign="center" w:y="1"/>
      <w:rPr>
        <w:rStyle w:val="PageNumber"/>
        <w:sz w:val="20"/>
      </w:rPr>
    </w:pPr>
    <w:r w:rsidRPr="00C164D8">
      <w:rPr>
        <w:rStyle w:val="PageNumber"/>
        <w:sz w:val="20"/>
      </w:rPr>
      <w:fldChar w:fldCharType="begin"/>
    </w:r>
    <w:r w:rsidRPr="00C164D8">
      <w:rPr>
        <w:rStyle w:val="PageNumber"/>
        <w:sz w:val="20"/>
      </w:rPr>
      <w:instrText xml:space="preserve">PAGE  </w:instrText>
    </w:r>
    <w:r w:rsidRPr="00C164D8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C164D8">
      <w:rPr>
        <w:rStyle w:val="PageNumber"/>
        <w:sz w:val="20"/>
      </w:rPr>
      <w:fldChar w:fldCharType="end"/>
    </w:r>
  </w:p>
  <w:p w14:paraId="5A8DFCF0" w14:textId="77777777" w:rsidR="0073178D" w:rsidRDefault="00543ED7">
    <w:pPr>
      <w:pStyle w:val="Footer"/>
      <w:rPr>
        <w:sz w:val="20"/>
      </w:rPr>
    </w:pPr>
    <w:r>
      <w:rPr>
        <w:sz w:val="20"/>
      </w:rPr>
      <w:t>_________________________________________________________________________________________</w:t>
    </w:r>
  </w:p>
  <w:p w14:paraId="142D729C" w14:textId="2CE84723" w:rsidR="0073178D" w:rsidRPr="00C164D8" w:rsidRDefault="00543ED7" w:rsidP="0073178D">
    <w:pPr>
      <w:pStyle w:val="Footer"/>
      <w:tabs>
        <w:tab w:val="clear" w:pos="8640"/>
        <w:tab w:val="right" w:pos="9639"/>
      </w:tabs>
      <w:rPr>
        <w:sz w:val="20"/>
      </w:rPr>
    </w:pPr>
    <w:r w:rsidRPr="00C164D8">
      <w:rPr>
        <w:sz w:val="20"/>
      </w:rPr>
      <w:t xml:space="preserve">Planning Committee </w:t>
    </w:r>
    <w:r w:rsidR="00FF2CB1">
      <w:rPr>
        <w:sz w:val="20"/>
      </w:rPr>
      <w:t xml:space="preserve">Supplemental </w:t>
    </w:r>
    <w:r w:rsidRPr="00C164D8">
      <w:rPr>
        <w:sz w:val="20"/>
      </w:rPr>
      <w:t>Addendum</w:t>
    </w:r>
    <w:r w:rsidRPr="00C164D8">
      <w:rPr>
        <w:sz w:val="20"/>
      </w:rPr>
      <w:tab/>
    </w:r>
    <w:r w:rsidRPr="00C164D8">
      <w:rPr>
        <w:sz w:val="20"/>
      </w:rPr>
      <w:tab/>
      <w:t xml:space="preserve">                                         </w:t>
    </w:r>
    <w:r w:rsidR="0019637B">
      <w:rPr>
        <w:sz w:val="20"/>
      </w:rPr>
      <w:t>16</w:t>
    </w:r>
    <w:r w:rsidR="0019637B" w:rsidRPr="0019637B">
      <w:rPr>
        <w:sz w:val="20"/>
        <w:vertAlign w:val="superscript"/>
      </w:rPr>
      <w:t>th</w:t>
    </w:r>
    <w:r w:rsidR="0019637B">
      <w:rPr>
        <w:sz w:val="20"/>
      </w:rPr>
      <w:t xml:space="preserve">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B5D9" w14:textId="77777777" w:rsidR="004D3DDF" w:rsidRDefault="007F3B83">
      <w:r>
        <w:separator/>
      </w:r>
    </w:p>
  </w:footnote>
  <w:footnote w:type="continuationSeparator" w:id="0">
    <w:p w14:paraId="2D8BB457" w14:textId="77777777" w:rsidR="004D3DDF" w:rsidRDefault="007F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F1F"/>
    <w:multiLevelType w:val="hybridMultilevel"/>
    <w:tmpl w:val="91B6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5D7"/>
    <w:multiLevelType w:val="multilevel"/>
    <w:tmpl w:val="23E0A8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5680984"/>
    <w:multiLevelType w:val="hybridMultilevel"/>
    <w:tmpl w:val="08364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06B8"/>
    <w:multiLevelType w:val="hybridMultilevel"/>
    <w:tmpl w:val="BE0C7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65020"/>
    <w:multiLevelType w:val="hybridMultilevel"/>
    <w:tmpl w:val="C86A237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E276B"/>
    <w:multiLevelType w:val="hybridMultilevel"/>
    <w:tmpl w:val="D552496C"/>
    <w:lvl w:ilvl="0" w:tplc="B734FB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87391"/>
    <w:multiLevelType w:val="hybridMultilevel"/>
    <w:tmpl w:val="2564F818"/>
    <w:lvl w:ilvl="0" w:tplc="EB6054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072EA"/>
    <w:multiLevelType w:val="hybridMultilevel"/>
    <w:tmpl w:val="79DC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516F9"/>
    <w:multiLevelType w:val="hybridMultilevel"/>
    <w:tmpl w:val="1A2ECA76"/>
    <w:lvl w:ilvl="0" w:tplc="CB3C740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950ACC"/>
    <w:multiLevelType w:val="hybridMultilevel"/>
    <w:tmpl w:val="D674C058"/>
    <w:lvl w:ilvl="0" w:tplc="08090019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1B"/>
    <w:rsid w:val="00001B3F"/>
    <w:rsid w:val="00027D98"/>
    <w:rsid w:val="00096993"/>
    <w:rsid w:val="000C54F4"/>
    <w:rsid w:val="000F31D3"/>
    <w:rsid w:val="00155FD5"/>
    <w:rsid w:val="0019637B"/>
    <w:rsid w:val="001F5AC5"/>
    <w:rsid w:val="002A12D9"/>
    <w:rsid w:val="0038451B"/>
    <w:rsid w:val="0039159A"/>
    <w:rsid w:val="00496D41"/>
    <w:rsid w:val="004D3DDF"/>
    <w:rsid w:val="00533F59"/>
    <w:rsid w:val="00543ED7"/>
    <w:rsid w:val="005A7B77"/>
    <w:rsid w:val="005B2BBA"/>
    <w:rsid w:val="00665795"/>
    <w:rsid w:val="0072733F"/>
    <w:rsid w:val="0076606B"/>
    <w:rsid w:val="007F3B83"/>
    <w:rsid w:val="00805CC4"/>
    <w:rsid w:val="008D4F00"/>
    <w:rsid w:val="00AD0D30"/>
    <w:rsid w:val="00B469E1"/>
    <w:rsid w:val="00B81BEF"/>
    <w:rsid w:val="00BB2963"/>
    <w:rsid w:val="00C36814"/>
    <w:rsid w:val="00C61748"/>
    <w:rsid w:val="00CA282D"/>
    <w:rsid w:val="00E646D8"/>
    <w:rsid w:val="00E72D7A"/>
    <w:rsid w:val="00F347DF"/>
    <w:rsid w:val="00F43115"/>
    <w:rsid w:val="00FB5F25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373E"/>
  <w15:chartTrackingRefBased/>
  <w15:docId w15:val="{A6A2279A-4BEB-4FFB-9A01-57528537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5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45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451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3845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451B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38451B"/>
  </w:style>
  <w:style w:type="paragraph" w:styleId="BodyText">
    <w:name w:val="Body Text"/>
    <w:basedOn w:val="Normal"/>
    <w:link w:val="BodyTextChar"/>
    <w:rsid w:val="0038451B"/>
    <w:pPr>
      <w:tabs>
        <w:tab w:val="left" w:pos="3402"/>
        <w:tab w:val="left" w:pos="5670"/>
        <w:tab w:val="left" w:pos="7088"/>
        <w:tab w:val="left" w:pos="8222"/>
      </w:tabs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38451B"/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F347DF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347DF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72D7A"/>
    <w:rPr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D7A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 Freeney</dc:creator>
  <cp:keywords/>
  <dc:description/>
  <cp:lastModifiedBy>Mwimanji Chellah</cp:lastModifiedBy>
  <cp:revision>2</cp:revision>
  <dcterms:created xsi:type="dcterms:W3CDTF">2022-04-13T08:19:00Z</dcterms:created>
  <dcterms:modified xsi:type="dcterms:W3CDTF">2022-04-13T08:19:00Z</dcterms:modified>
</cp:coreProperties>
</file>